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 V A L U A C I O N I    O B R A Z A C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7.000000000000455" w:tblpY="0"/>
        <w:tblW w:w="9499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84"/>
        <w:gridCol w:w="456"/>
        <w:gridCol w:w="738"/>
        <w:gridCol w:w="1521"/>
        <w:tblGridChange w:id="0">
          <w:tblGrid>
            <w:gridCol w:w="6784"/>
            <w:gridCol w:w="456"/>
            <w:gridCol w:w="738"/>
            <w:gridCol w:w="1521"/>
          </w:tblGrid>
        </w:tblGridChange>
      </w:tblGrid>
      <w:tr>
        <w:trPr>
          <w:cantSplit w:val="0"/>
          <w:trHeight w:val="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ZNAČAJ PROGRAMA</w:t>
            </w:r>
          </w:p>
          <w:p w:rsidR="00000000" w:rsidDel="00000000" w:rsidP="00000000" w:rsidRDefault="00000000" w:rsidRPr="00000000" w14:paraId="00000006">
            <w:pPr>
              <w:ind w:left="7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Ne iskazuje se u bodovima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 li predloženi program odgovara utvrđenim potrebama nezaposlenih lica?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4"/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KOMENTAR: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PLANIRANI REZULTATI PROGRAMA</w:t>
            </w:r>
          </w:p>
          <w:p w:rsidR="00000000" w:rsidDel="00000000" w:rsidP="00000000" w:rsidRDefault="00000000" w:rsidRPr="00000000" w14:paraId="00000019">
            <w:pPr>
              <w:ind w:left="7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spacing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Bodovi se dobijaju u zavisnosti od podataka iz Prijave poslodavca koji se odnose na dužinu realizacije programa, odnosno ugovora o radu učesnika programa.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Prijava u kojoj je podnosilac naveo da će zaključiti ugovor o radu sa učesnikom u trajanju dužem od trajanja programa, ocjenjuje se izuzimajući period trajanja radnog odnosa u programu.</w:t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Bodovi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Ostvareni broj bodova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u trajanju koje nije duže od trajanja programa.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jednog mjeseca duže od trajanja programa.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2.1.2 Predviđa se zaključivanje ugovora o radu sa dva učesnika, u trajanju od jednog mjeseca duže od trajanja programa.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2.1.3 Predviđa se zaključivanje ugovora o radu sa tri učesnika, u trajanju od jednog mjeseca duže od trajanja programa.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2.1.4 Predviđa se zaključivanje ugovora o radu sa četiri učesnika, u trajanju od jednog mjeseca duže od trajanja programa.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dva mjeseca duže od trajanja programa.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2.2.2 Predviđa se zaključivanje ugovora o radu sa dva učesnika, u trajanju od dva mjeseca duže od trajanja programa.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2.2.3 Predviđa se zaključivanje ugovora o radu sa tri učesnika, u trajanju od dva mjeseca duže od trajanja programa.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2.2.4 Predviđa se zaključivanje ugovora o radu sa četiri učesnika, u trajanju od dva mjeseca duže od trajanja programa.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tri mjeseca duže od trajanja programa.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2.3.2 Predviđa se zaključivanje ugovora o radu sa dva učesnika, u trajanju od tri mjeseca duže od trajanja programa.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2.3.3 Predviđa se zaključivanje ugovora o radu sa tri učesnika, u trajanju od tri mjeseca duže od trajanja programa.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2.3.4 Predviđa se zaključivanje ugovora o radu sa četiri učesnika, u trajanju od tri mjeseca duže od trajanja programa.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od četiri mjeseca duže od trajanja programa.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12</w:t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2.4.2 Predviđa se zaključivanje ugovora o radu sa dva učesnika, u trajanju od četiri mjeseca duže od trajanja programa.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2.4.3 Predviđa se zaključivanje ugovora o radu sa tri učesnika, u trajanju od četiri mjeseca duže od trajanja programa.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2.4.4 Predviđa se zaključivanje ugovora o radu sa četiri učesnika, u trajanju od četiri mjeseca duže od trajanja programa.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Predviđa se zaključivanje ugovora o radu sa jednim učesnikom, u trajanju dužem od četiri mjeseca nakon realizacije programa.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2.5.2 Predviđa se zaključivanje ugovora o radu sa dva učesnika, u trajanju dužem od četiri mjeseca nakon realizacije programa.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2.5.3 Predviđa se zaključivanje ugovora o radu sa tri učesnika, u trajanju  dužem od četiri mjeseca nakon realizacije programa.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2.5.4 Predviđa se zaključivanje ugovora o radu sa četiri učesnika, u trajanju dužem od četiri mjeseca nakon realizacije programa.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UKUPNO (2.1. + 2.2. + 2.3. + 2.4. + 2.5) 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KONKURENTNOST I RAZVIJENOST OPŠTINE SPROVOĐENJA PROGRAMA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2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94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70"/>
              <w:gridCol w:w="2976"/>
              <w:gridCol w:w="2695"/>
              <w:tblGridChange w:id="0">
                <w:tblGrid>
                  <w:gridCol w:w="3270"/>
                  <w:gridCol w:w="2976"/>
                  <w:gridCol w:w="2695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Budva –                                   3,02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Tivat –                                3,83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Podgorica -                   4,41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Kotor –                                    4,55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Herceg Novi                       4,57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Bar –                             4,89 </w:t>
                  </w:r>
                </w:p>
              </w:tc>
            </w:tr>
            <w:tr>
              <w:trPr>
                <w:cantSplit w:val="0"/>
                <w:trHeight w:val="19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Žabljak –                                 5,36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Cetinje -                              5,37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Danilovgrad -                5,60</w:t>
                  </w:r>
                </w:p>
              </w:tc>
            </w:tr>
            <w:tr>
              <w:trPr>
                <w:cantSplit w:val="0"/>
                <w:trHeight w:val="24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Nikšić -                                    5,76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Ulcinj -                                5,80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Zeta -                            5,86</w:t>
                  </w:r>
                </w:p>
              </w:tc>
            </w:tr>
            <w:tr>
              <w:trPr>
                <w:cantSplit w:val="0"/>
                <w:trHeight w:val="251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Kolašin -                                  6,33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Pljevlja -                             6,51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Tuzi –                            6,68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Mojkovac –                              6,80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Plav –                                 7,16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Plužine  –                      7,35</w:t>
                  </w:r>
                </w:p>
              </w:tc>
            </w:tr>
            <w:tr>
              <w:trPr>
                <w:cantSplit w:val="0"/>
                <w:trHeight w:val="231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Šavnik                                      7,40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Bijelo Polje –                      7,72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Berane –                       7,75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Rožaje –                                  9,90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Andrijevica -                     11,13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Gusinje –                    12,41</w:t>
                  </w:r>
                </w:p>
              </w:tc>
            </w:tr>
            <w:tr>
              <w:trPr>
                <w:cantSplit w:val="0"/>
                <w:trHeight w:val="24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rtl w:val="0"/>
                    </w:rPr>
                    <w:t xml:space="preserve">Petnjica –                               40,00</w:t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B8">
                  <w:pPr>
                    <w:rPr>
                      <w:rFonts w:ascii="Arial Narrow" w:cs="Arial Narrow" w:eastAsia="Arial Narrow" w:hAnsi="Arial Narr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Opština sprovođenja programa 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C0">
            <w:pPr>
              <w:ind w:left="7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Bodovi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UKUPAN BROJ BODOVA (2+3)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.9414062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Komentari: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49" w:tblpY="0"/>
        <w:tblW w:w="94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39"/>
        <w:gridCol w:w="3544"/>
        <w:tblGridChange w:id="0">
          <w:tblGrid>
            <w:gridCol w:w="5939"/>
            <w:gridCol w:w="3544"/>
          </w:tblGrid>
        </w:tblGridChange>
      </w:tblGrid>
      <w:tr>
        <w:trPr>
          <w:cantSplit w:val="0"/>
          <w:trHeight w:val="1309.9218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Ime i prezime evaluatora: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Potpis evaluatora: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Datum: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___/___/2026. godine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Mjesto: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Podgorica</w:t>
            </w:r>
          </w:p>
        </w:tc>
      </w:tr>
    </w:tbl>
    <w:p w:rsidR="00000000" w:rsidDel="00000000" w:rsidP="00000000" w:rsidRDefault="00000000" w:rsidRPr="00000000" w14:paraId="000000DD">
      <w:pPr>
        <w:tabs>
          <w:tab w:val="left" w:leader="none" w:pos="97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POZRKP – APZ/RA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F4AB7"/>
    <w:pPr>
      <w:ind w:left="720"/>
      <w:contextualSpacing w:val="1"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styleId="BodyTextChar" w:customStyle="1">
    <w:name w:val="Body Text Char"/>
    <w:link w:val="BodyText"/>
    <w:rsid w:val="000F4AB7"/>
    <w:rPr>
      <w:rFonts w:ascii="Arial" w:cs="Times New Roman" w:eastAsia="Times New Roman" w:hAnsi="Arial"/>
      <w:snapToGrid w:val="0"/>
      <w:sz w:val="20"/>
      <w:szCs w:val="20"/>
      <w:lang w:val="fr-FR"/>
    </w:rPr>
  </w:style>
  <w:style w:type="paragraph" w:styleId="Text1" w:customStyle="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cs="Arial" w:hAnsi="Arial"/>
      <w:snapToGrid w:val="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158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1587"/>
    <w:rPr>
      <w:rFonts w:ascii="Segoe UI" w:cs="Segoe UI" w:eastAsia="Times New Roman" w:hAnsi="Segoe UI"/>
      <w:snapToGrid w:val="0"/>
      <w:sz w:val="18"/>
      <w:szCs w:val="18"/>
      <w:lang w:eastAsia="en-US" w:val="en-GB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813CB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813CB"/>
    <w:rPr>
      <w:rFonts w:ascii="Times New Roman" w:eastAsia="Times New Roman" w:hAnsi="Times New Roman"/>
      <w:snapToGrid w:val="0"/>
      <w:lang w:eastAsia="en-US" w:val="en-GB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F97DD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7DD9"/>
    <w:rPr>
      <w:rFonts w:ascii="Times New Roman" w:eastAsia="Times New Roman" w:hAnsi="Times New Roman"/>
      <w:snapToGrid w:val="0"/>
      <w:sz w:val="24"/>
      <w:lang w:eastAsia="en-US" w:val="en-GB"/>
    </w:rPr>
  </w:style>
  <w:style w:type="paragraph" w:styleId="Footer">
    <w:name w:val="footer"/>
    <w:basedOn w:val="Normal"/>
    <w:link w:val="FooterChar"/>
    <w:uiPriority w:val="99"/>
    <w:unhideWhenUsed w:val="1"/>
    <w:rsid w:val="00F97DD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7DD9"/>
    <w:rPr>
      <w:rFonts w:ascii="Times New Roman" w:eastAsia="Times New Roman" w:hAnsi="Times New Roman"/>
      <w:snapToGrid w:val="0"/>
      <w:sz w:val="24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793F386QMFZ6sCVNyTLbU9kB9g==">CgMxLjA4AHIhMXBxRzV5Y1ZqbEo5SXNNY25RS0RQZE9pNHJlMGlkU3Fl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2026-03-24T08:17:00Z</dcterms:created>
  <dc:creator>Dragica Rustemagic</dc:creator>
</cp:coreProperties>
</file>